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C778" w14:textId="77777777" w:rsidR="004F365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color="00B050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74D3042D" wp14:editId="5E54157A">
            <wp:extent cx="2987239" cy="711200"/>
            <wp:effectExtent l="0" t="0" r="0" b="0"/>
            <wp:docPr id="1073741825" name="officeArt object" descr="Immagine che contiene testo, Carattere, Elementi grafici, bianc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testo, Carattere, Elementi grafici, biancoDescrizione generata automaticamente" descr="Immagine che contiene testo, Carattere, Elementi grafici, bianco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7239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B050"/>
          <w:sz w:val="28"/>
          <w:szCs w:val="28"/>
          <w:u w:color="00B050"/>
        </w:rPr>
        <w:t xml:space="preserve">                </w:t>
      </w:r>
    </w:p>
    <w:p w14:paraId="649DFB7E" w14:textId="77777777" w:rsidR="004F3652" w:rsidRDefault="004F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C5F3C2" w14:textId="616F6039" w:rsidR="004F3652" w:rsidRDefault="005E612E">
      <w:pPr>
        <w:spacing w:after="0" w:line="360" w:lineRule="auto"/>
        <w:jc w:val="center"/>
        <w:rPr>
          <w:rFonts w:ascii="Garamond" w:eastAsia="Garamond" w:hAnsi="Garamond" w:cs="Garamond"/>
          <w:b/>
          <w:bCs/>
          <w:color w:val="C00000"/>
          <w:kern w:val="0"/>
          <w:sz w:val="24"/>
          <w:szCs w:val="24"/>
          <w:u w:color="C00000"/>
        </w:rPr>
      </w:pPr>
      <w:r>
        <w:rPr>
          <w:rFonts w:ascii="Garamond" w:hAnsi="Garamond"/>
          <w:b/>
          <w:bCs/>
          <w:color w:val="C00000"/>
          <w:kern w:val="0"/>
          <w:sz w:val="24"/>
          <w:szCs w:val="24"/>
          <w:u w:color="C00000"/>
        </w:rPr>
        <w:t xml:space="preserve">Disponibile </w:t>
      </w:r>
      <w:r w:rsidR="00000000">
        <w:rPr>
          <w:rFonts w:ascii="Garamond" w:hAnsi="Garamond"/>
          <w:b/>
          <w:bCs/>
          <w:color w:val="C00000"/>
          <w:kern w:val="0"/>
          <w:sz w:val="24"/>
          <w:szCs w:val="24"/>
          <w:u w:color="C00000"/>
        </w:rPr>
        <w:t>in tutte le librerie, piattaforme e store online</w:t>
      </w:r>
    </w:p>
    <w:p w14:paraId="14250AEF" w14:textId="77777777" w:rsidR="004F3652" w:rsidRDefault="00000000">
      <w:pPr>
        <w:spacing w:after="0" w:line="360" w:lineRule="auto"/>
        <w:jc w:val="center"/>
        <w:rPr>
          <w:rFonts w:ascii="Garamond" w:eastAsia="Garamond" w:hAnsi="Garamond" w:cs="Garamond"/>
          <w:b/>
          <w:bCs/>
          <w:color w:val="C00000"/>
          <w:kern w:val="0"/>
          <w:sz w:val="24"/>
          <w:szCs w:val="24"/>
          <w:u w:color="C00000"/>
        </w:rPr>
      </w:pPr>
      <w:r>
        <w:rPr>
          <w:rFonts w:ascii="Garamond" w:hAnsi="Garamond"/>
          <w:b/>
          <w:bCs/>
          <w:color w:val="C00000"/>
          <w:kern w:val="0"/>
          <w:sz w:val="24"/>
          <w:szCs w:val="24"/>
          <w:u w:color="C00000"/>
        </w:rPr>
        <w:t xml:space="preserve">“Champagne e cambiali. Nuove storie e leggende dei produttori italiani da Cinecittà a Hollywood” di Domenico Monetti e Luca </w:t>
      </w:r>
      <w:proofErr w:type="spellStart"/>
      <w:r>
        <w:rPr>
          <w:rFonts w:ascii="Garamond" w:hAnsi="Garamond"/>
          <w:b/>
          <w:bCs/>
          <w:color w:val="C00000"/>
          <w:kern w:val="0"/>
          <w:sz w:val="24"/>
          <w:szCs w:val="24"/>
          <w:u w:color="C00000"/>
        </w:rPr>
        <w:t>Pallanch</w:t>
      </w:r>
      <w:proofErr w:type="spellEnd"/>
      <w:r>
        <w:rPr>
          <w:rFonts w:ascii="Garamond" w:hAnsi="Garamond"/>
          <w:b/>
          <w:bCs/>
          <w:color w:val="C00000"/>
          <w:kern w:val="0"/>
          <w:sz w:val="24"/>
          <w:szCs w:val="24"/>
          <w:u w:color="C00000"/>
        </w:rPr>
        <w:t xml:space="preserve">”: il libro-intervista </w:t>
      </w:r>
    </w:p>
    <w:p w14:paraId="6C2121CD" w14:textId="39C87BA2" w:rsidR="004F3652" w:rsidRDefault="00000000">
      <w:pPr>
        <w:spacing w:after="0" w:line="360" w:lineRule="auto"/>
        <w:jc w:val="center"/>
        <w:rPr>
          <w:rFonts w:ascii="Garamond" w:eastAsia="Garamond" w:hAnsi="Garamond" w:cs="Garamond"/>
          <w:b/>
          <w:bCs/>
          <w:color w:val="C00000"/>
          <w:kern w:val="0"/>
          <w:sz w:val="24"/>
          <w:szCs w:val="24"/>
          <w:u w:color="C00000"/>
        </w:rPr>
      </w:pPr>
      <w:r>
        <w:rPr>
          <w:rFonts w:ascii="Garamond" w:hAnsi="Garamond"/>
          <w:b/>
          <w:bCs/>
          <w:color w:val="C00000"/>
          <w:kern w:val="0"/>
          <w:sz w:val="24"/>
          <w:szCs w:val="24"/>
          <w:u w:color="C00000"/>
        </w:rPr>
        <w:t>pubblicato da</w:t>
      </w:r>
      <w:r w:rsidR="00CF3CA9">
        <w:rPr>
          <w:rFonts w:ascii="Garamond" w:hAnsi="Garamond"/>
          <w:b/>
          <w:bCs/>
          <w:color w:val="C00000"/>
          <w:kern w:val="0"/>
          <w:sz w:val="24"/>
          <w:szCs w:val="24"/>
          <w:u w:color="C00000"/>
        </w:rPr>
        <w:t xml:space="preserve"> </w:t>
      </w:r>
      <w:r>
        <w:rPr>
          <w:rFonts w:ascii="Garamond" w:hAnsi="Garamond"/>
          <w:b/>
          <w:bCs/>
          <w:color w:val="C00000"/>
          <w:kern w:val="0"/>
          <w:sz w:val="24"/>
          <w:szCs w:val="24"/>
          <w:u w:color="C00000"/>
        </w:rPr>
        <w:t xml:space="preserve">Minimum fax </w:t>
      </w:r>
      <w:r w:rsidR="00CF3CA9">
        <w:rPr>
          <w:rFonts w:ascii="Garamond" w:hAnsi="Garamond"/>
          <w:b/>
          <w:bCs/>
          <w:color w:val="C00000"/>
          <w:kern w:val="0"/>
          <w:sz w:val="24"/>
          <w:szCs w:val="24"/>
          <w:u w:color="C00000"/>
        </w:rPr>
        <w:t xml:space="preserve">in coedizione con CSC - Centro Sperimentale di Cinematografia </w:t>
      </w:r>
    </w:p>
    <w:p w14:paraId="4E1AB167" w14:textId="77777777" w:rsidR="004F3652" w:rsidRDefault="004F3652">
      <w:pPr>
        <w:pStyle w:val="Nessunaspaziatura"/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114A6E3" w14:textId="544B8312" w:rsidR="004F3652" w:rsidRDefault="00000000">
      <w:pPr>
        <w:spacing w:before="100" w:after="10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Dal </w:t>
      </w:r>
      <w:r w:rsidRPr="005E612E">
        <w:rPr>
          <w:rFonts w:ascii="Garamond" w:hAnsi="Garamond"/>
          <w:color w:val="212529"/>
          <w:kern w:val="0"/>
          <w:sz w:val="24"/>
          <w:szCs w:val="24"/>
          <w:u w:color="212529"/>
        </w:rPr>
        <w:t>27 marzo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 è disponibile in </w:t>
      </w:r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>tutte le librerie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 e sulle </w:t>
      </w:r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>piattaforme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 e </w:t>
      </w:r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>store online “</w:t>
      </w:r>
      <w:r>
        <w:rPr>
          <w:rFonts w:ascii="Garamond" w:hAnsi="Garamond"/>
          <w:b/>
          <w:bCs/>
          <w:sz w:val="24"/>
          <w:szCs w:val="24"/>
        </w:rPr>
        <w:t xml:space="preserve">Champagne e cambiali. </w:t>
      </w:r>
      <w:r>
        <w:rPr>
          <w:rFonts w:ascii="Garamond" w:hAnsi="Garamond"/>
          <w:b/>
          <w:bCs/>
          <w:kern w:val="0"/>
          <w:sz w:val="24"/>
          <w:szCs w:val="24"/>
        </w:rPr>
        <w:t xml:space="preserve">Nuove storie e leggende dei produttori italiani da Cinecittà a Hollywood” 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di </w:t>
      </w:r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>Domenico Monetti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 e </w:t>
      </w:r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 xml:space="preserve">Luca </w:t>
      </w:r>
      <w:proofErr w:type="spellStart"/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>Pallanch</w:t>
      </w:r>
      <w:proofErr w:type="spellEnd"/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 - con la collaborazione di </w:t>
      </w:r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 xml:space="preserve">Fabio </w:t>
      </w:r>
      <w:proofErr w:type="spellStart"/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>Micolano</w:t>
      </w:r>
      <w:proofErr w:type="spellEnd"/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 - pubblicato da</w:t>
      </w:r>
      <w:r w:rsidR="00570F0A"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 </w:t>
      </w:r>
      <w:r w:rsidR="00570F0A"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>Minimum fax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 </w:t>
      </w:r>
      <w:r w:rsidR="00570F0A">
        <w:rPr>
          <w:rFonts w:ascii="Garamond" w:hAnsi="Garamond"/>
          <w:color w:val="212529"/>
          <w:kern w:val="0"/>
          <w:sz w:val="24"/>
          <w:szCs w:val="24"/>
          <w:u w:color="212529"/>
        </w:rPr>
        <w:t>in coedizione con</w:t>
      </w:r>
      <w:r w:rsidR="00570F0A"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 xml:space="preserve"> CSC - </w:t>
      </w:r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>Centro Sperimentale di Cinematografia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; il libro-intervista rappresenta l’ideale </w:t>
      </w:r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 xml:space="preserve">prosecuzione 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>di</w:t>
      </w:r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 xml:space="preserve"> “</w:t>
      </w:r>
      <w:r>
        <w:rPr>
          <w:rFonts w:ascii="Garamond" w:hAnsi="Garamond"/>
          <w:b/>
          <w:bCs/>
          <w:sz w:val="24"/>
          <w:szCs w:val="24"/>
        </w:rPr>
        <w:t>Per i soldi e per la gloria”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curato dagli stessi autori, la 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prima collaborazione del </w:t>
      </w:r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>Centro Sperimentale di Cinematografia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 con la casa editrice romana </w:t>
      </w:r>
      <w:proofErr w:type="spellStart"/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>Minimux</w:t>
      </w:r>
      <w:proofErr w:type="spellEnd"/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 xml:space="preserve"> fax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>. “</w:t>
      </w:r>
      <w:r>
        <w:rPr>
          <w:rFonts w:ascii="Garamond" w:hAnsi="Garamond"/>
          <w:sz w:val="24"/>
          <w:szCs w:val="24"/>
        </w:rPr>
        <w:t xml:space="preserve">Per i soldi e per la gloria”, già vincitore del Premio Diego Fabbri nell’ambito dei Cinematografo Awards 2023, ha 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 xml:space="preserve">inaugurato una nuova collana di interviste e testimonianze sul cinema intitolata </w:t>
      </w:r>
      <w:r>
        <w:rPr>
          <w:rFonts w:ascii="Garamond" w:hAnsi="Garamond"/>
          <w:b/>
          <w:bCs/>
          <w:color w:val="212529"/>
          <w:kern w:val="0"/>
          <w:sz w:val="24"/>
          <w:szCs w:val="24"/>
          <w:u w:color="212529"/>
        </w:rPr>
        <w:t>“Storia orale del cinema italiano”</w:t>
      </w:r>
      <w:r>
        <w:rPr>
          <w:rFonts w:ascii="Garamond" w:hAnsi="Garamond"/>
          <w:color w:val="212529"/>
          <w:kern w:val="0"/>
          <w:sz w:val="24"/>
          <w:szCs w:val="24"/>
          <w:u w:color="212529"/>
        </w:rPr>
        <w:t>.</w:t>
      </w:r>
    </w:p>
    <w:p w14:paraId="7940C9FB" w14:textId="77777777" w:rsidR="00F411DB" w:rsidRDefault="00000000" w:rsidP="00EC4FFC">
      <w:pPr>
        <w:spacing w:after="0" w:line="36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Dopo </w:t>
      </w:r>
      <w:r>
        <w:rPr>
          <w:rFonts w:ascii="Garamond" w:hAnsi="Garamond"/>
          <w:i/>
          <w:iCs/>
          <w:sz w:val="24"/>
          <w:szCs w:val="24"/>
        </w:rPr>
        <w:t>Per i soldi e per la gloria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b/>
          <w:bCs/>
          <w:sz w:val="24"/>
          <w:szCs w:val="24"/>
        </w:rPr>
        <w:t>prosegue il racconto del cinema italiano attraverso le voci dei più importanti produttori</w:t>
      </w:r>
      <w:r>
        <w:rPr>
          <w:rFonts w:ascii="Garamond" w:hAnsi="Garamond"/>
          <w:sz w:val="24"/>
          <w:szCs w:val="24"/>
        </w:rPr>
        <w:t xml:space="preserve">. Se il primo volume si è concentrato soprattutto sulle grandi dinastie e sulle avventure legate a una stagione irripetibile, tra cinema d’autore, commedia e prodotti pensati per il mercato internazionale, in </w:t>
      </w:r>
      <w:r>
        <w:rPr>
          <w:rFonts w:ascii="Garamond" w:hAnsi="Garamond"/>
          <w:i/>
          <w:iCs/>
          <w:sz w:val="24"/>
          <w:szCs w:val="24"/>
        </w:rPr>
        <w:t>Champagne e cambiali</w:t>
      </w:r>
      <w:r>
        <w:rPr>
          <w:rFonts w:ascii="Garamond" w:hAnsi="Garamond"/>
          <w:sz w:val="24"/>
          <w:szCs w:val="24"/>
        </w:rPr>
        <w:t xml:space="preserve"> Monetti e </w:t>
      </w:r>
      <w:proofErr w:type="spellStart"/>
      <w:r>
        <w:rPr>
          <w:rFonts w:ascii="Garamond" w:hAnsi="Garamond"/>
          <w:sz w:val="24"/>
          <w:szCs w:val="24"/>
        </w:rPr>
        <w:t>Pallanch</w:t>
      </w:r>
      <w:proofErr w:type="spellEnd"/>
      <w:r>
        <w:rPr>
          <w:rFonts w:ascii="Garamond" w:hAnsi="Garamond"/>
          <w:sz w:val="24"/>
          <w:szCs w:val="24"/>
        </w:rPr>
        <w:t xml:space="preserve"> orientano la loro ricerca sulle figure che hanno vissuto in prima persona il </w:t>
      </w:r>
      <w:r>
        <w:rPr>
          <w:rFonts w:ascii="Garamond" w:hAnsi="Garamond"/>
          <w:b/>
          <w:bCs/>
          <w:sz w:val="24"/>
          <w:szCs w:val="24"/>
        </w:rPr>
        <w:t xml:space="preserve">passaggio dal cinema in sala all’home video e alla distribuzione televisiva. </w:t>
      </w:r>
      <w:r>
        <w:rPr>
          <w:rFonts w:ascii="Garamond" w:hAnsi="Garamond"/>
          <w:sz w:val="24"/>
          <w:szCs w:val="24"/>
        </w:rPr>
        <w:t xml:space="preserve">Tra storie avvincenti e aneddoti spesso esilaranti, scorre davanti ai nostri occhi il ritratto collettivo di uno straordinario gruppo di sognatori e avventurieri che hanno tentato, con esiti alterni ma con lo stesso ammirevole coraggio, di trasformare la crisi di un’industria e di un modello di produzione culturale in una nuova opportunità. Fino a scalare Hollywood, dialogare con i grandi </w:t>
      </w:r>
      <w:proofErr w:type="spellStart"/>
      <w:r>
        <w:rPr>
          <w:rFonts w:ascii="Garamond" w:hAnsi="Garamond"/>
          <w:sz w:val="24"/>
          <w:szCs w:val="24"/>
        </w:rPr>
        <w:t>studios</w:t>
      </w:r>
      <w:proofErr w:type="spellEnd"/>
      <w:r>
        <w:rPr>
          <w:rFonts w:ascii="Garamond" w:hAnsi="Garamond"/>
          <w:sz w:val="24"/>
          <w:szCs w:val="24"/>
        </w:rPr>
        <w:t xml:space="preserve"> americani e concretizzare il sogno di un cinema europeo, in grado di parlare a diversi tipi di pubblico, e a paesi e culture differenti.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Raccontano gli autori </w:t>
      </w:r>
      <w:r>
        <w:rPr>
          <w:rFonts w:ascii="Garamond" w:hAnsi="Garamond"/>
          <w:b/>
          <w:bCs/>
          <w:sz w:val="24"/>
          <w:szCs w:val="24"/>
        </w:rPr>
        <w:t xml:space="preserve">Domenico Monetti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b/>
          <w:bCs/>
          <w:sz w:val="24"/>
          <w:szCs w:val="24"/>
        </w:rPr>
        <w:t xml:space="preserve"> Luca </w:t>
      </w:r>
      <w:proofErr w:type="spellStart"/>
      <w:r>
        <w:rPr>
          <w:rFonts w:ascii="Garamond" w:hAnsi="Garamond"/>
          <w:b/>
          <w:bCs/>
          <w:sz w:val="24"/>
          <w:szCs w:val="24"/>
        </w:rPr>
        <w:t>Pallanch</w:t>
      </w:r>
      <w:proofErr w:type="spellEnd"/>
      <w:r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 xml:space="preserve">“…Dopo aver raccontato nel libro </w:t>
      </w:r>
      <w:proofErr w:type="gramStart"/>
      <w:r>
        <w:rPr>
          <w:rFonts w:ascii="Garamond" w:hAnsi="Garamond"/>
          <w:i/>
          <w:iCs/>
          <w:sz w:val="24"/>
          <w:szCs w:val="24"/>
        </w:rPr>
        <w:t>gemello</w:t>
      </w:r>
      <w:proofErr w:type="gramEnd"/>
      <w:r>
        <w:rPr>
          <w:rFonts w:ascii="Garamond" w:hAnsi="Garamond"/>
          <w:i/>
          <w:iCs/>
          <w:sz w:val="24"/>
          <w:szCs w:val="24"/>
        </w:rPr>
        <w:t xml:space="preserve"> Per i soldi o per la gloria un’epopea quasi picaresca di coppie storiche, figli d’arte e self-made men (o women), industriali e diplomati </w:t>
      </w:r>
      <w:r>
        <w:rPr>
          <w:rFonts w:ascii="Garamond" w:hAnsi="Garamond"/>
          <w:i/>
          <w:iCs/>
        </w:rPr>
        <w:t>CSC</w:t>
      </w:r>
      <w:r>
        <w:rPr>
          <w:rFonts w:ascii="Garamond" w:hAnsi="Garamond"/>
          <w:i/>
          <w:iCs/>
          <w:sz w:val="24"/>
          <w:szCs w:val="24"/>
        </w:rPr>
        <w:t xml:space="preserve"> ora, calandoci </w:t>
      </w:r>
      <w:proofErr w:type="spellStart"/>
      <w:r>
        <w:rPr>
          <w:rFonts w:ascii="Garamond" w:hAnsi="Garamond"/>
          <w:i/>
          <w:iCs/>
          <w:sz w:val="24"/>
          <w:szCs w:val="24"/>
        </w:rPr>
        <w:t>piu</w:t>
      </w:r>
      <w:proofErr w:type="spellEnd"/>
      <w:r>
        <w:rPr>
          <w:rFonts w:ascii="Arial Unicode MS" w:hAnsi="Arial Unicode MS"/>
          <w:sz w:val="24"/>
          <w:szCs w:val="24"/>
        </w:rPr>
        <w:t>̀</w:t>
      </w:r>
      <w:r>
        <w:rPr>
          <w:rFonts w:ascii="Garamond" w:hAnsi="Garamond"/>
          <w:i/>
          <w:iCs/>
          <w:sz w:val="24"/>
          <w:szCs w:val="24"/>
        </w:rPr>
        <w:t xml:space="preserve"> nel cuore della storia italica, siamo stati costretti a sporcarci</w:t>
      </w:r>
    </w:p>
    <w:p w14:paraId="405356F0" w14:textId="4B5E3C6C" w:rsidR="004F3652" w:rsidRDefault="00000000" w:rsidP="00EC4FFC">
      <w:pPr>
        <w:spacing w:after="0" w:line="360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le mani, a indagare piccoli e grandi misteri, a condividere clamorosi successi economici ma anche tragiche disfatte, con ferite ancora aperte, impossibili da rimarginare. Rimane, anche questa volta, il rimpianto di non aver sconfitto il tempo e non essere riusciti a intervistare personaggi qui solo evocati, come Felice Colaiacomo, il quale avrebbe meritato un pezzetto della gloria che ha donato ai registi e agli attori dei suoi film, non sempre altrettanto generosi con lui e con il suo socio Franco </w:t>
      </w:r>
      <w:proofErr w:type="spellStart"/>
      <w:r>
        <w:rPr>
          <w:rFonts w:ascii="Garamond" w:hAnsi="Garamond"/>
          <w:i/>
          <w:iCs/>
          <w:sz w:val="24"/>
          <w:szCs w:val="24"/>
        </w:rPr>
        <w:lastRenderedPageBreak/>
        <w:t>Poccioni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. La </w:t>
      </w:r>
      <w:proofErr w:type="spellStart"/>
      <w:r>
        <w:rPr>
          <w:rFonts w:ascii="Garamond" w:hAnsi="Garamond"/>
          <w:i/>
          <w:iCs/>
          <w:sz w:val="24"/>
          <w:szCs w:val="24"/>
        </w:rPr>
        <w:t>piu</w:t>
      </w:r>
      <w:proofErr w:type="spellEnd"/>
      <w:r>
        <w:rPr>
          <w:rFonts w:ascii="Arial Unicode MS" w:hAnsi="Arial Unicode MS"/>
          <w:sz w:val="24"/>
          <w:szCs w:val="24"/>
        </w:rPr>
        <w:t>̀</w:t>
      </w:r>
      <w:r>
        <w:rPr>
          <w:rFonts w:ascii="Garamond" w:hAnsi="Garamond"/>
          <w:i/>
          <w:iCs/>
          <w:sz w:val="24"/>
          <w:szCs w:val="24"/>
        </w:rPr>
        <w:t xml:space="preserve"> bella coppia del cinema italiano, mai una divisione, mai uno screzio. Insieme a Fabio </w:t>
      </w:r>
      <w:proofErr w:type="spellStart"/>
      <w:r>
        <w:rPr>
          <w:rFonts w:ascii="Garamond" w:hAnsi="Garamond"/>
          <w:i/>
          <w:iCs/>
          <w:sz w:val="24"/>
          <w:szCs w:val="24"/>
        </w:rPr>
        <w:t>Micolano</w:t>
      </w:r>
      <w:proofErr w:type="spellEnd"/>
      <w:r>
        <w:rPr>
          <w:rFonts w:ascii="Garamond" w:hAnsi="Garamond"/>
          <w:i/>
          <w:iCs/>
          <w:sz w:val="24"/>
          <w:szCs w:val="24"/>
        </w:rPr>
        <w:t>, nostra spalla in questa avventura, dedichiamo idealmente il secondo volume della «Storia orale del cinema italiano» a un nostro affezionato sostenitore, Enrico Mangini, sempre presente alle serate organizzate al Cinema Trevi, il nostro The Last Picture Show, dove le proiezioni erano accompagnate da aneddoti e racconti in liberta</w:t>
      </w:r>
      <w:r>
        <w:rPr>
          <w:rFonts w:ascii="Arial Unicode MS" w:hAnsi="Arial Unicode MS"/>
          <w:sz w:val="24"/>
          <w:szCs w:val="24"/>
        </w:rPr>
        <w:t>̀</w:t>
      </w:r>
      <w:r>
        <w:rPr>
          <w:rFonts w:ascii="Garamond" w:hAnsi="Garamond"/>
          <w:i/>
          <w:iCs/>
          <w:sz w:val="24"/>
          <w:szCs w:val="24"/>
        </w:rPr>
        <w:t xml:space="preserve">, come nello spirito di questo libro. Enrico, figlio del regista e sceneggiatore Gino Mangini, era il nipote di Giuseppe Colizzi e dell’aiuto-regista Silvana Mangini, in un intreccio indissolubile di vita e cinema. Si sarebbe fatto in quattro per organizzare una presentazione del libro e poi rimanere nell’ombra, com’era nel suo stile, </w:t>
      </w:r>
      <w:proofErr w:type="spellStart"/>
      <w:r>
        <w:rPr>
          <w:rFonts w:ascii="Garamond" w:hAnsi="Garamond"/>
          <w:i/>
          <w:iCs/>
          <w:sz w:val="24"/>
          <w:szCs w:val="24"/>
        </w:rPr>
        <w:t>perche</w:t>
      </w:r>
      <w:proofErr w:type="spellEnd"/>
      <w:r>
        <w:rPr>
          <w:rFonts w:ascii="Arial Unicode MS" w:hAnsi="Arial Unicode MS"/>
          <w:sz w:val="24"/>
          <w:szCs w:val="24"/>
        </w:rPr>
        <w:t>́</w:t>
      </w:r>
      <w:r>
        <w:rPr>
          <w:rFonts w:ascii="Garamond" w:hAnsi="Garamond"/>
          <w:i/>
          <w:iCs/>
          <w:sz w:val="24"/>
          <w:szCs w:val="24"/>
        </w:rPr>
        <w:t xml:space="preserve"> incarnava l’animo del vero spettatore. Una figura perduta, come i nostri amati produttori”.</w:t>
      </w:r>
    </w:p>
    <w:p w14:paraId="583B146C" w14:textId="77777777" w:rsidR="004F3652" w:rsidRDefault="004F3652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D8B47E7" w14:textId="77777777" w:rsidR="004F3652" w:rsidRDefault="0000000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Domenico Monetti e Luca </w:t>
      </w:r>
      <w:proofErr w:type="spellStart"/>
      <w:r>
        <w:rPr>
          <w:rFonts w:ascii="Garamond" w:hAnsi="Garamond"/>
          <w:b/>
          <w:bCs/>
          <w:sz w:val="24"/>
          <w:szCs w:val="24"/>
        </w:rPr>
        <w:t>Pallanch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lavorano al Centro Sperimentale di Cinematografia – Cineteca Nazionale e per anni si sono occupati della programmazione del Cinema Trevi, a Roma. Insieme hanno curato retrospettive alla Mostra del Cinema di Venezia («La situazione comica. 1910-1988»; «Orizzonti. 1960-1978»), alla Festa del Cinema di Roma («Le notti pazze de La dolce vita»; «Cinema espanso. 1962-1984»; «Danze macabre. Il cinema gotico italiano») e al Torino Film Festival («Omaggio a Giulio Questi»; «Omaggio ad Augusto </w:t>
      </w:r>
      <w:proofErr w:type="spellStart"/>
      <w:r>
        <w:rPr>
          <w:rFonts w:ascii="Garamond" w:hAnsi="Garamond"/>
          <w:sz w:val="24"/>
          <w:szCs w:val="24"/>
        </w:rPr>
        <w:t>Tretti</w:t>
      </w:r>
      <w:proofErr w:type="spellEnd"/>
      <w:r>
        <w:rPr>
          <w:rFonts w:ascii="Garamond" w:hAnsi="Garamond"/>
          <w:sz w:val="24"/>
          <w:szCs w:val="24"/>
        </w:rPr>
        <w:t xml:space="preserve">»; «Omaggio ai fratelli </w:t>
      </w:r>
      <w:proofErr w:type="spellStart"/>
      <w:r>
        <w:rPr>
          <w:rFonts w:ascii="Garamond" w:hAnsi="Garamond"/>
          <w:sz w:val="24"/>
          <w:szCs w:val="24"/>
        </w:rPr>
        <w:t>Garriba</w:t>
      </w:r>
      <w:proofErr w:type="spellEnd"/>
      <w:r>
        <w:rPr>
          <w:rFonts w:ascii="Garamond" w:hAnsi="Garamond"/>
          <w:sz w:val="24"/>
          <w:szCs w:val="24"/>
        </w:rPr>
        <w:t>»), e hanno curato diversi libri di cinema (</w:t>
      </w:r>
      <w:r>
        <w:rPr>
          <w:rFonts w:ascii="Garamond" w:hAnsi="Garamond"/>
          <w:i/>
          <w:iCs/>
          <w:sz w:val="24"/>
          <w:szCs w:val="24"/>
        </w:rPr>
        <w:t>Luigi Comencini. Architetto dei sentimenti</w:t>
      </w:r>
      <w:r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i/>
          <w:iCs/>
          <w:sz w:val="24"/>
          <w:szCs w:val="24"/>
        </w:rPr>
        <w:t>Tagli. Il cinema di Dario Argento</w:t>
      </w:r>
      <w:r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i/>
          <w:iCs/>
          <w:sz w:val="24"/>
          <w:szCs w:val="24"/>
        </w:rPr>
        <w:t>Non solo Gomorra. Tutto il cinema di Matteo Garrone</w:t>
      </w:r>
      <w:r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i/>
          <w:iCs/>
          <w:sz w:val="24"/>
          <w:szCs w:val="24"/>
        </w:rPr>
        <w:t>Divi &amp; antidivi. Il cinema di Paolo Sorrentino</w:t>
      </w:r>
      <w:r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i/>
          <w:iCs/>
          <w:sz w:val="24"/>
          <w:szCs w:val="24"/>
        </w:rPr>
        <w:t>Un «idolo» in controluce. Enzo Battaglia</w:t>
      </w:r>
      <w:r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i/>
          <w:iCs/>
          <w:sz w:val="24"/>
          <w:szCs w:val="24"/>
        </w:rPr>
        <w:t>Se non ricordo male. Frammenti autobiografici di Giulio Questi</w:t>
      </w:r>
      <w:r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i/>
          <w:iCs/>
          <w:sz w:val="24"/>
          <w:szCs w:val="24"/>
        </w:rPr>
        <w:t xml:space="preserve">Il caso </w:t>
      </w:r>
      <w:proofErr w:type="spellStart"/>
      <w:r>
        <w:rPr>
          <w:rFonts w:ascii="Garamond" w:hAnsi="Garamond"/>
          <w:i/>
          <w:iCs/>
          <w:sz w:val="24"/>
          <w:szCs w:val="24"/>
        </w:rPr>
        <w:t>Tretti</w:t>
      </w:r>
      <w:proofErr w:type="spellEnd"/>
      <w:r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i/>
          <w:iCs/>
          <w:sz w:val="24"/>
          <w:szCs w:val="24"/>
        </w:rPr>
        <w:t xml:space="preserve">Fabio e Mario </w:t>
      </w:r>
      <w:proofErr w:type="spellStart"/>
      <w:r>
        <w:rPr>
          <w:rFonts w:ascii="Garamond" w:hAnsi="Garamond"/>
          <w:i/>
          <w:iCs/>
          <w:sz w:val="24"/>
          <w:szCs w:val="24"/>
        </w:rPr>
        <w:t>Garriba</w:t>
      </w:r>
      <w:proofErr w:type="spellEnd"/>
      <w:r>
        <w:rPr>
          <w:rFonts w:ascii="Garamond" w:hAnsi="Garamond"/>
          <w:i/>
          <w:iCs/>
          <w:sz w:val="24"/>
          <w:szCs w:val="24"/>
        </w:rPr>
        <w:t>, i gemelli terribili del cinema italiano</w:t>
      </w:r>
      <w:r>
        <w:rPr>
          <w:rFonts w:ascii="Garamond" w:hAnsi="Garamond"/>
          <w:sz w:val="24"/>
          <w:szCs w:val="24"/>
        </w:rPr>
        <w:t xml:space="preserve">). Con minimum fax hanno già </w:t>
      </w:r>
      <w:proofErr w:type="gramStart"/>
      <w:r>
        <w:rPr>
          <w:rFonts w:ascii="Garamond" w:hAnsi="Garamond"/>
          <w:sz w:val="24"/>
          <w:szCs w:val="24"/>
        </w:rPr>
        <w:t>pubblicato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Per i soldi o per la gloria. Storie e leggende dei produttori italiani dal dopoguerra alle tv private</w:t>
      </w:r>
      <w:r>
        <w:rPr>
          <w:rFonts w:ascii="Garamond" w:hAnsi="Garamond"/>
          <w:sz w:val="24"/>
          <w:szCs w:val="24"/>
        </w:rPr>
        <w:t xml:space="preserve"> (2023), primo volume appartenente alla serie Storia orale del cinema italiano, pubblicata in coedizione con la Fondazione Centro Sperimentale di Cinematografia.</w:t>
      </w:r>
    </w:p>
    <w:p w14:paraId="58122860" w14:textId="77777777" w:rsidR="00E4542F" w:rsidRDefault="00E4542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8BDC41C" w14:textId="77777777" w:rsidR="00E4542F" w:rsidRDefault="00E4542F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3524C80" w14:textId="77777777" w:rsidR="004F3652" w:rsidRDefault="004F3652">
      <w:pPr>
        <w:shd w:val="clear" w:color="auto" w:fill="FFFFFF"/>
        <w:spacing w:after="0" w:line="360" w:lineRule="auto"/>
        <w:jc w:val="both"/>
        <w:rPr>
          <w:rFonts w:ascii="Garamond" w:eastAsia="Garamond" w:hAnsi="Garamond" w:cs="Garamond"/>
          <w:b/>
          <w:bCs/>
          <w:color w:val="212529"/>
          <w:kern w:val="0"/>
          <w:sz w:val="24"/>
          <w:szCs w:val="24"/>
          <w:u w:color="212529"/>
        </w:rPr>
      </w:pPr>
    </w:p>
    <w:p w14:paraId="574D8D69" w14:textId="77777777" w:rsidR="004F3652" w:rsidRDefault="00000000">
      <w:pPr>
        <w:pStyle w:val="Nessunaspaziatura"/>
        <w:spacing w:line="360" w:lineRule="auto"/>
        <w:jc w:val="center"/>
        <w:rPr>
          <w:rFonts w:ascii="Garamond" w:eastAsia="Garamond" w:hAnsi="Garamond" w:cs="Garamond"/>
          <w:b/>
          <w:bCs/>
          <w:color w:val="C00000"/>
          <w:sz w:val="28"/>
          <w:szCs w:val="28"/>
          <w:u w:color="C00000"/>
        </w:rPr>
      </w:pPr>
      <w:r>
        <w:rPr>
          <w:rFonts w:ascii="Garamond" w:hAnsi="Garamond"/>
          <w:b/>
          <w:bCs/>
          <w:color w:val="C00000"/>
          <w:sz w:val="28"/>
          <w:szCs w:val="28"/>
          <w:u w:color="C00000"/>
        </w:rPr>
        <w:t xml:space="preserve">Clicca </w:t>
      </w:r>
      <w:hyperlink r:id="rId7" w:history="1">
        <w:r>
          <w:rPr>
            <w:rStyle w:val="Hyperlink0"/>
          </w:rPr>
          <w:t>qui</w:t>
        </w:r>
      </w:hyperlink>
      <w:r>
        <w:rPr>
          <w:rFonts w:ascii="Garamond" w:hAnsi="Garamond"/>
          <w:b/>
          <w:bCs/>
          <w:color w:val="C00000"/>
          <w:sz w:val="28"/>
          <w:szCs w:val="28"/>
          <w:u w:color="C00000"/>
        </w:rPr>
        <w:t xml:space="preserve"> per scaricare la copertina e i materiali utili</w:t>
      </w:r>
    </w:p>
    <w:p w14:paraId="5536D6DA" w14:textId="77777777" w:rsidR="004F3652" w:rsidRDefault="004F3652">
      <w:pPr>
        <w:pStyle w:val="Nessunaspaziatura"/>
        <w:spacing w:line="360" w:lineRule="auto"/>
        <w:jc w:val="both"/>
        <w:rPr>
          <w:rFonts w:ascii="Garamond" w:eastAsia="Garamond" w:hAnsi="Garamond" w:cs="Garamond"/>
          <w:kern w:val="0"/>
          <w:sz w:val="24"/>
          <w:szCs w:val="24"/>
        </w:rPr>
      </w:pPr>
    </w:p>
    <w:p w14:paraId="33DD3DA4" w14:textId="77777777" w:rsidR="004F3652" w:rsidRDefault="004F3652">
      <w:pPr>
        <w:pStyle w:val="Nessunaspaziatura"/>
        <w:spacing w:line="360" w:lineRule="auto"/>
        <w:jc w:val="both"/>
        <w:rPr>
          <w:rFonts w:ascii="Garamond" w:eastAsia="Garamond" w:hAnsi="Garamond" w:cs="Garamond"/>
          <w:kern w:val="0"/>
          <w:sz w:val="24"/>
          <w:szCs w:val="24"/>
        </w:rPr>
      </w:pPr>
    </w:p>
    <w:p w14:paraId="49928B41" w14:textId="77777777" w:rsidR="004F3652" w:rsidRDefault="004F3652">
      <w:pPr>
        <w:pStyle w:val="Nessunaspaziatura"/>
        <w:spacing w:line="360" w:lineRule="auto"/>
        <w:jc w:val="both"/>
        <w:rPr>
          <w:rFonts w:ascii="Garamond" w:eastAsia="Garamond" w:hAnsi="Garamond" w:cs="Garamond"/>
          <w:kern w:val="0"/>
          <w:sz w:val="24"/>
          <w:szCs w:val="24"/>
        </w:rPr>
      </w:pPr>
    </w:p>
    <w:p w14:paraId="15F50BD1" w14:textId="77777777" w:rsidR="004F3652" w:rsidRDefault="00000000">
      <w:r>
        <w:rPr>
          <w:rFonts w:ascii="Garamond" w:hAnsi="Garamond"/>
          <w:b/>
          <w:bCs/>
          <w:sz w:val="20"/>
          <w:szCs w:val="20"/>
        </w:rPr>
        <w:t>Centro Sperimentale di Cinematografia</w:t>
      </w:r>
      <w:r>
        <w:rPr>
          <w:rFonts w:ascii="Garamond" w:eastAsia="Garamond" w:hAnsi="Garamond" w:cs="Garamond"/>
          <w:sz w:val="20"/>
          <w:szCs w:val="20"/>
        </w:rPr>
        <w:br/>
      </w:r>
      <w:r>
        <w:rPr>
          <w:rFonts w:ascii="Garamond" w:hAnsi="Garamond"/>
          <w:b/>
          <w:bCs/>
          <w:sz w:val="20"/>
          <w:szCs w:val="20"/>
        </w:rPr>
        <w:t>Responsabile comunicazione e capo ufficio stampa</w:t>
      </w:r>
      <w:r>
        <w:rPr>
          <w:rFonts w:ascii="Garamond" w:eastAsia="Garamond" w:hAnsi="Garamond" w:cs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 xml:space="preserve">Steve Della Casa, +39 348 302 9887, </w:t>
      </w:r>
      <w:hyperlink r:id="rId8" w:history="1">
        <w:r>
          <w:rPr>
            <w:rStyle w:val="Hyperlink1"/>
          </w:rPr>
          <w:t>stefano.dellacasa@virgilio.it</w:t>
        </w:r>
      </w:hyperlink>
      <w:r>
        <w:rPr>
          <w:rFonts w:ascii="Garamond" w:eastAsia="Garamond" w:hAnsi="Garamond" w:cs="Garamond"/>
          <w:sz w:val="20"/>
          <w:szCs w:val="20"/>
        </w:rPr>
        <w:br/>
      </w:r>
      <w:r>
        <w:rPr>
          <w:rFonts w:ascii="Garamond" w:hAnsi="Garamond"/>
          <w:b/>
          <w:bCs/>
          <w:sz w:val="20"/>
          <w:szCs w:val="20"/>
        </w:rPr>
        <w:t>ufficio stampa</w:t>
      </w:r>
      <w:r>
        <w:rPr>
          <w:rFonts w:ascii="Garamond" w:eastAsia="Garamond" w:hAnsi="Garamond" w:cs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 xml:space="preserve">Silvia Saitta, +39 328 2010029, </w:t>
      </w:r>
      <w:hyperlink r:id="rId9" w:history="1">
        <w:r>
          <w:rPr>
            <w:rStyle w:val="Hyperlink2"/>
          </w:rPr>
          <w:t>silvia.saitta@fondazionecsc.it</w:t>
        </w:r>
      </w:hyperlink>
      <w:r>
        <w:rPr>
          <w:rStyle w:val="Nessuno"/>
          <w:rFonts w:ascii="Garamond" w:hAnsi="Garamond"/>
          <w:sz w:val="20"/>
          <w:szCs w:val="20"/>
        </w:rPr>
        <w:t xml:space="preserve"> </w:t>
      </w:r>
      <w:r>
        <w:rPr>
          <w:rStyle w:val="Nessuno"/>
        </w:rPr>
        <w:br/>
      </w:r>
    </w:p>
    <w:sectPr w:rsidR="004F3652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B475" w14:textId="77777777" w:rsidR="00D57D1B" w:rsidRDefault="00D57D1B">
      <w:pPr>
        <w:spacing w:after="0" w:line="240" w:lineRule="auto"/>
      </w:pPr>
      <w:r>
        <w:separator/>
      </w:r>
    </w:p>
  </w:endnote>
  <w:endnote w:type="continuationSeparator" w:id="0">
    <w:p w14:paraId="40F3F1B6" w14:textId="77777777" w:rsidR="00D57D1B" w:rsidRDefault="00D5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E2A2" w14:textId="77777777" w:rsidR="004F3652" w:rsidRDefault="004F365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8345" w14:textId="77777777" w:rsidR="00D57D1B" w:rsidRDefault="00D57D1B">
      <w:pPr>
        <w:spacing w:after="0" w:line="240" w:lineRule="auto"/>
      </w:pPr>
      <w:r>
        <w:separator/>
      </w:r>
    </w:p>
  </w:footnote>
  <w:footnote w:type="continuationSeparator" w:id="0">
    <w:p w14:paraId="3F0D6493" w14:textId="77777777" w:rsidR="00D57D1B" w:rsidRDefault="00D5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8DC" w14:textId="77777777" w:rsidR="004F3652" w:rsidRDefault="004F365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52"/>
    <w:rsid w:val="004F3652"/>
    <w:rsid w:val="00570F0A"/>
    <w:rsid w:val="005E612E"/>
    <w:rsid w:val="00620698"/>
    <w:rsid w:val="00825142"/>
    <w:rsid w:val="00CF3CA9"/>
    <w:rsid w:val="00D57D1B"/>
    <w:rsid w:val="00E4542F"/>
    <w:rsid w:val="00EC4FFC"/>
    <w:rsid w:val="00F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3FF80"/>
  <w15:docId w15:val="{74BD4610-CF90-A448-9574-D993AB82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6" w:lineRule="auto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b/>
      <w:bCs/>
      <w:outline w:val="0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Link"/>
    <w:rPr>
      <w:rFonts w:ascii="Garamond" w:eastAsia="Garamond" w:hAnsi="Garamond" w:cs="Garamond"/>
      <w:outline w:val="0"/>
      <w:color w:val="0000FF"/>
      <w:sz w:val="20"/>
      <w:szCs w:val="20"/>
      <w:u w:val="single" w:color="0000FF"/>
    </w:rPr>
  </w:style>
  <w:style w:type="character" w:customStyle="1" w:styleId="Nessuno">
    <w:name w:val="Nessuno"/>
  </w:style>
  <w:style w:type="character" w:customStyle="1" w:styleId="Hyperlink2">
    <w:name w:val="Hyperlink.2"/>
    <w:basedOn w:val="Nessuno"/>
    <w:rPr>
      <w:rFonts w:ascii="Garamond" w:eastAsia="Garamond" w:hAnsi="Garamond" w:cs="Garamond"/>
      <w:outline w:val="0"/>
      <w:color w:val="0000FF"/>
      <w:sz w:val="20"/>
      <w:szCs w:val="20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E454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Calibri"/>
      <w:color w:val="auto"/>
      <w:kern w:val="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.dellacasa@virgili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cl/fo/csx8rckwnyqimt29967uw/h?rlkey=k4k51z4c985n8yapbe6ez99hv&amp;dl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lvia.saitta@fondazionecsc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Saitta</cp:lastModifiedBy>
  <cp:revision>9</cp:revision>
  <dcterms:created xsi:type="dcterms:W3CDTF">2024-04-02T13:13:00Z</dcterms:created>
  <dcterms:modified xsi:type="dcterms:W3CDTF">2024-04-04T10:35:00Z</dcterms:modified>
</cp:coreProperties>
</file>